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38E3" w14:textId="77777777" w:rsidR="00070582" w:rsidRPr="00070582" w:rsidRDefault="00070582" w:rsidP="00070582">
      <w:pPr>
        <w:jc w:val="center"/>
        <w:rPr>
          <w:b/>
          <w:bCs/>
          <w:sz w:val="28"/>
          <w:szCs w:val="28"/>
          <w:lang w:val="tr-TR"/>
        </w:rPr>
      </w:pPr>
      <w:r w:rsidRPr="00070582">
        <w:rPr>
          <w:b/>
          <w:bCs/>
          <w:sz w:val="28"/>
          <w:szCs w:val="28"/>
          <w:lang w:val="tr-TR"/>
        </w:rPr>
        <w:t>PROGRAM GÜNCELLEMESİ VE GEÇİŞ DÖNEMİ DUYURUSU</w:t>
      </w:r>
    </w:p>
    <w:p w14:paraId="33B425BB" w14:textId="77777777" w:rsidR="00070582" w:rsidRDefault="00070582" w:rsidP="00070582">
      <w:pPr>
        <w:rPr>
          <w:b/>
          <w:bCs/>
          <w:i/>
          <w:iCs/>
          <w:lang w:val="tr-TR"/>
        </w:rPr>
      </w:pPr>
    </w:p>
    <w:p w14:paraId="107B2E0F" w14:textId="755CE2C2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>Road To Leader</w:t>
      </w:r>
      <w:r>
        <w:rPr>
          <w:b/>
          <w:bCs/>
          <w:lang w:val="tr-TR"/>
        </w:rPr>
        <w:t xml:space="preserve"> (RTL)</w:t>
      </w:r>
      <w:r w:rsidRPr="00070582">
        <w:rPr>
          <w:b/>
          <w:bCs/>
          <w:lang w:val="tr-TR"/>
        </w:rPr>
        <w:t xml:space="preserve"> ve </w:t>
      </w:r>
      <w:r>
        <w:rPr>
          <w:b/>
          <w:bCs/>
          <w:lang w:val="tr-TR"/>
        </w:rPr>
        <w:t>Minimum Aylık Kazanç Garantisi (MMR)</w:t>
      </w:r>
      <w:r w:rsidRPr="00070582">
        <w:rPr>
          <w:b/>
          <w:bCs/>
          <w:lang w:val="tr-TR"/>
        </w:rPr>
        <w:t xml:space="preserve"> Programları</w:t>
      </w:r>
    </w:p>
    <w:p w14:paraId="60A29FDB" w14:textId="0B515388" w:rsidR="00070582" w:rsidRPr="00070582" w:rsidRDefault="00070582" w:rsidP="00070582">
      <w:pPr>
        <w:rPr>
          <w:lang w:val="tr-TR"/>
        </w:rPr>
      </w:pPr>
      <w:r w:rsidRPr="00070582">
        <w:rPr>
          <w:lang w:val="tr-TR"/>
        </w:rPr>
        <w:t xml:space="preserve">Bu doküman, Amare </w:t>
      </w:r>
      <w:r>
        <w:rPr>
          <w:lang w:val="tr-TR"/>
        </w:rPr>
        <w:t>Kazanç</w:t>
      </w:r>
      <w:r w:rsidRPr="00070582">
        <w:rPr>
          <w:lang w:val="tr-TR"/>
        </w:rPr>
        <w:t xml:space="preserve"> Plan</w:t>
      </w:r>
      <w:r>
        <w:rPr>
          <w:lang w:val="tr-TR"/>
        </w:rPr>
        <w:t>ı</w:t>
      </w:r>
      <w:r w:rsidRPr="00070582">
        <w:rPr>
          <w:lang w:val="tr-TR"/>
        </w:rPr>
        <w:t xml:space="preserve"> kapsamında yürürlükte olan bazı programların sonlandırılması ve geçiş sürecine ilişkin kuralları açıklamak amacıyla hazırlanmıştır.</w:t>
      </w:r>
    </w:p>
    <w:p w14:paraId="59DB8D6B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3E83E77F">
          <v:rect id="_x0000_i1025" style="width:0;height:1.5pt" o:hralign="center" o:hrstd="t" o:hr="t" fillcolor="#a0a0a0" stroked="f"/>
        </w:pict>
      </w:r>
    </w:p>
    <w:p w14:paraId="56CD1B2F" w14:textId="5D7D8CC0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>1. RTL Programı – Geçiş ve Sonlandırma Süreci</w:t>
      </w:r>
    </w:p>
    <w:p w14:paraId="1598C7B2" w14:textId="77777777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>1.1 Programın Devam Süresi</w:t>
      </w:r>
    </w:p>
    <w:p w14:paraId="2131C78A" w14:textId="77777777" w:rsidR="00070582" w:rsidRPr="00070582" w:rsidRDefault="00070582" w:rsidP="00070582">
      <w:pPr>
        <w:rPr>
          <w:lang w:val="tr-TR"/>
        </w:rPr>
      </w:pPr>
      <w:r w:rsidRPr="00070582">
        <w:rPr>
          <w:lang w:val="tr-TR"/>
        </w:rPr>
        <w:t>RTL Programı, Haziran 2026 sonuna kadar mevcut haliyle devam edecektir.</w:t>
      </w:r>
    </w:p>
    <w:p w14:paraId="740C8C40" w14:textId="1ED3DED8" w:rsidR="00713403" w:rsidRDefault="00713403" w:rsidP="00070582">
      <w:pPr>
        <w:numPr>
          <w:ilvl w:val="0"/>
          <w:numId w:val="1"/>
        </w:numPr>
        <w:rPr>
          <w:lang w:val="tr-TR"/>
        </w:rPr>
      </w:pPr>
      <w:r w:rsidRPr="00713403">
        <w:rPr>
          <w:lang w:val="tr-TR"/>
        </w:rPr>
        <w:t>15 Aralık 2025 veya öncesinde kayıt yaptıran Marka Ortaklarının, RTL programı kapsamındaki ilk ay çalışmalarına en geç Haziran 2026'da başlamış olmaları gerekmektedir.</w:t>
      </w:r>
    </w:p>
    <w:p w14:paraId="374844B4" w14:textId="603533AE" w:rsidR="00070582" w:rsidRDefault="00070582" w:rsidP="00070582">
      <w:pPr>
        <w:numPr>
          <w:ilvl w:val="0"/>
          <w:numId w:val="1"/>
        </w:numPr>
        <w:rPr>
          <w:lang w:val="tr-TR"/>
        </w:rPr>
      </w:pPr>
      <w:r w:rsidRPr="00070582">
        <w:rPr>
          <w:lang w:val="tr-TR"/>
        </w:rPr>
        <w:t>Program kapsamında, toplam 6 ayın 4’ünün tamamlanması şartı korunacaktır.</w:t>
      </w:r>
    </w:p>
    <w:p w14:paraId="6C866E63" w14:textId="319A35C2" w:rsidR="00713403" w:rsidRPr="00070582" w:rsidRDefault="00713403" w:rsidP="00070582">
      <w:pPr>
        <w:numPr>
          <w:ilvl w:val="0"/>
          <w:numId w:val="1"/>
        </w:numPr>
        <w:rPr>
          <w:lang w:val="tr-TR"/>
        </w:rPr>
      </w:pPr>
      <w:r w:rsidRPr="00713403">
        <w:rPr>
          <w:lang w:val="tr-TR"/>
        </w:rPr>
        <w:t>16 Aralık 2025 veya sonrasında programa katılan Marka Ortakları, mevcut RTL programına artık katılamayacaklardır.</w:t>
      </w:r>
    </w:p>
    <w:p w14:paraId="6A807026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6554C927">
          <v:rect id="_x0000_i1026" style="width:0;height:1.5pt" o:hralign="center" o:hrstd="t" o:hr="t" fillcolor="#a0a0a0" stroked="f"/>
        </w:pict>
      </w:r>
    </w:p>
    <w:p w14:paraId="5C5B5BF0" w14:textId="77777777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>1.2 Ödeme Dönemi</w:t>
      </w:r>
    </w:p>
    <w:p w14:paraId="37E2E2E0" w14:textId="3E9CB90D" w:rsidR="00070582" w:rsidRPr="00070582" w:rsidRDefault="00070582" w:rsidP="00070582">
      <w:pPr>
        <w:numPr>
          <w:ilvl w:val="0"/>
          <w:numId w:val="2"/>
        </w:numPr>
        <w:rPr>
          <w:lang w:val="tr-TR"/>
        </w:rPr>
      </w:pPr>
      <w:r w:rsidRPr="00070582">
        <w:rPr>
          <w:lang w:val="tr-TR"/>
        </w:rPr>
        <w:t xml:space="preserve">İlk ayını Haziran 2026’da başlatan </w:t>
      </w:r>
      <w:r>
        <w:rPr>
          <w:lang w:val="tr-TR"/>
        </w:rPr>
        <w:t>Marka Ortakları</w:t>
      </w:r>
      <w:r w:rsidRPr="00070582">
        <w:rPr>
          <w:lang w:val="tr-TR"/>
        </w:rPr>
        <w:t xml:space="preserve"> için, RTL ödemeleri Kasım 2026 sonuna kadar devam edecektir.</w:t>
      </w:r>
    </w:p>
    <w:p w14:paraId="1626794E" w14:textId="77777777" w:rsidR="00070582" w:rsidRPr="00070582" w:rsidRDefault="00070582" w:rsidP="00070582">
      <w:pPr>
        <w:numPr>
          <w:ilvl w:val="0"/>
          <w:numId w:val="2"/>
        </w:numPr>
        <w:rPr>
          <w:lang w:val="tr-TR"/>
        </w:rPr>
      </w:pPr>
      <w:r w:rsidRPr="00070582">
        <w:rPr>
          <w:lang w:val="tr-TR"/>
        </w:rPr>
        <w:t>Bu tarihten sonra RTL kapsamında herhangi bir ödeme yapılmayacaktır.</w:t>
      </w:r>
    </w:p>
    <w:p w14:paraId="5D085537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00B5CB18">
          <v:rect id="_x0000_i1027" style="width:0;height:1.5pt" o:hralign="center" o:hrstd="t" o:hr="t" fillcolor="#a0a0a0" stroked="f"/>
        </w:pict>
      </w:r>
    </w:p>
    <w:p w14:paraId="23B9FB72" w14:textId="7307FF17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>1.3 Kariyere Ulaşma Süresi</w:t>
      </w:r>
    </w:p>
    <w:p w14:paraId="30EFFD70" w14:textId="609866D2" w:rsidR="00070582" w:rsidRPr="00070582" w:rsidRDefault="00070582" w:rsidP="00070582">
      <w:pPr>
        <w:numPr>
          <w:ilvl w:val="0"/>
          <w:numId w:val="3"/>
        </w:numPr>
        <w:rPr>
          <w:lang w:val="tr-TR"/>
        </w:rPr>
      </w:pPr>
      <w:r w:rsidRPr="00070582">
        <w:rPr>
          <w:lang w:val="tr-TR"/>
        </w:rPr>
        <w:t xml:space="preserve">Temmuz 2026 itibarıyla, RTL Programı kapsamında yeni herhangi bir </w:t>
      </w:r>
      <w:r>
        <w:rPr>
          <w:lang w:val="tr-TR"/>
        </w:rPr>
        <w:t>kariyere ulaşmak</w:t>
      </w:r>
      <w:r w:rsidRPr="00070582">
        <w:rPr>
          <w:lang w:val="tr-TR"/>
        </w:rPr>
        <w:t xml:space="preserve"> dikkate alınmayacaktır.</w:t>
      </w:r>
    </w:p>
    <w:p w14:paraId="01DA6DEF" w14:textId="77777777" w:rsidR="00070582" w:rsidRPr="00070582" w:rsidRDefault="00070582" w:rsidP="00070582">
      <w:pPr>
        <w:numPr>
          <w:ilvl w:val="0"/>
          <w:numId w:val="3"/>
        </w:numPr>
        <w:rPr>
          <w:lang w:val="tr-TR"/>
        </w:rPr>
      </w:pPr>
      <w:r w:rsidRPr="00070582">
        <w:rPr>
          <w:lang w:val="tr-TR"/>
        </w:rPr>
        <w:t>Temmuz 2026 ve sonrasında elde edilen kariyer ilerlemeleri RTL Programı kapsamında hak doğurmayacaktır.</w:t>
      </w:r>
    </w:p>
    <w:p w14:paraId="33B81ECD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593CF6BD">
          <v:rect id="_x0000_i1028" style="width:0;height:1.5pt" o:hralign="center" o:hrstd="t" o:hr="t" fillcolor="#a0a0a0" stroked="f"/>
        </w:pict>
      </w:r>
    </w:p>
    <w:p w14:paraId="39826210" w14:textId="1BFBBE2D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>2. MMR Programı – Güncelleme ve Uzatma</w:t>
      </w:r>
    </w:p>
    <w:p w14:paraId="59F8C425" w14:textId="77777777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>2.1 Uygunluk ve Süre Uzatımı</w:t>
      </w:r>
    </w:p>
    <w:p w14:paraId="3789B275" w14:textId="3018E5D3" w:rsidR="00070582" w:rsidRPr="00070582" w:rsidRDefault="00070582" w:rsidP="00070582">
      <w:pPr>
        <w:numPr>
          <w:ilvl w:val="0"/>
          <w:numId w:val="4"/>
        </w:numPr>
        <w:rPr>
          <w:lang w:val="tr-TR"/>
        </w:rPr>
      </w:pPr>
      <w:r w:rsidRPr="00070582">
        <w:rPr>
          <w:lang w:val="tr-TR"/>
        </w:rPr>
        <w:t xml:space="preserve">15 Aralık 2025 ve öncesinde kayıt olan </w:t>
      </w:r>
      <w:r>
        <w:rPr>
          <w:lang w:val="tr-TR"/>
        </w:rPr>
        <w:t>Marka Ortakları</w:t>
      </w:r>
      <w:r w:rsidRPr="00070582">
        <w:rPr>
          <w:lang w:val="tr-TR"/>
        </w:rPr>
        <w:t xml:space="preserve"> için MMR </w:t>
      </w:r>
      <w:r>
        <w:rPr>
          <w:lang w:val="tr-TR"/>
        </w:rPr>
        <w:t>programı</w:t>
      </w:r>
      <w:r w:rsidRPr="00070582">
        <w:rPr>
          <w:lang w:val="tr-TR"/>
        </w:rPr>
        <w:t xml:space="preserve"> Mart 2026 sonuna kadar </w:t>
      </w:r>
      <w:r>
        <w:rPr>
          <w:lang w:val="tr-TR"/>
        </w:rPr>
        <w:t>geçerli ve ulaşılabilir olacaktır</w:t>
      </w:r>
      <w:r w:rsidRPr="00070582">
        <w:rPr>
          <w:lang w:val="tr-TR"/>
        </w:rPr>
        <w:t>.</w:t>
      </w:r>
    </w:p>
    <w:p w14:paraId="082B09AC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12D29225">
          <v:rect id="_x0000_i1029" style="width:0;height:1.5pt" o:hralign="center" o:hrstd="t" o:hr="t" fillcolor="#a0a0a0" stroked="f"/>
        </w:pict>
      </w:r>
    </w:p>
    <w:p w14:paraId="46638049" w14:textId="77777777" w:rsidR="00A555F3" w:rsidRDefault="00A555F3" w:rsidP="00070582">
      <w:pPr>
        <w:rPr>
          <w:b/>
          <w:bCs/>
          <w:i/>
          <w:iCs/>
          <w:lang w:val="tr-TR"/>
        </w:rPr>
      </w:pPr>
    </w:p>
    <w:p w14:paraId="35EA0B1E" w14:textId="77777777" w:rsidR="00A555F3" w:rsidRDefault="00A555F3" w:rsidP="00070582">
      <w:pPr>
        <w:rPr>
          <w:b/>
          <w:bCs/>
          <w:i/>
          <w:iCs/>
          <w:lang w:val="tr-TR"/>
        </w:rPr>
      </w:pPr>
    </w:p>
    <w:p w14:paraId="761EBE22" w14:textId="723D54C5" w:rsidR="00070582" w:rsidRPr="00A555F3" w:rsidRDefault="00070582" w:rsidP="00070582">
      <w:pPr>
        <w:rPr>
          <w:b/>
          <w:bCs/>
          <w:i/>
          <w:iCs/>
          <w:lang w:val="tr-TR"/>
        </w:rPr>
      </w:pPr>
      <w:r w:rsidRPr="00A555F3">
        <w:rPr>
          <w:b/>
          <w:bCs/>
          <w:i/>
          <w:iCs/>
          <w:lang w:val="tr-TR"/>
        </w:rPr>
        <w:t>2.2 MMR Hak Kazanma Şartı</w:t>
      </w:r>
    </w:p>
    <w:p w14:paraId="14711677" w14:textId="75BF227F" w:rsidR="00070582" w:rsidRPr="00A555F3" w:rsidRDefault="00070582" w:rsidP="00070582">
      <w:pPr>
        <w:numPr>
          <w:ilvl w:val="0"/>
          <w:numId w:val="5"/>
        </w:numPr>
        <w:rPr>
          <w:lang w:val="tr-TR"/>
        </w:rPr>
      </w:pPr>
      <w:r w:rsidRPr="00A555F3">
        <w:rPr>
          <w:lang w:val="tr-TR"/>
        </w:rPr>
        <w:t xml:space="preserve">İlgili </w:t>
      </w:r>
      <w:r w:rsidR="00A555F3">
        <w:rPr>
          <w:lang w:val="tr-TR"/>
        </w:rPr>
        <w:t>Marka Ortaklarının</w:t>
      </w:r>
      <w:r w:rsidRPr="00A555F3">
        <w:rPr>
          <w:lang w:val="tr-TR"/>
        </w:rPr>
        <w:t>, MMR hak edişini en geç Mart 2026 sonuna kadar tamamlamaları gerekmektedir.</w:t>
      </w:r>
    </w:p>
    <w:p w14:paraId="51778D4D" w14:textId="45535894" w:rsidR="00070582" w:rsidRPr="00A555F3" w:rsidRDefault="00070582" w:rsidP="00070582">
      <w:pPr>
        <w:numPr>
          <w:ilvl w:val="0"/>
          <w:numId w:val="5"/>
        </w:numPr>
        <w:rPr>
          <w:lang w:val="tr-TR"/>
        </w:rPr>
      </w:pPr>
      <w:r w:rsidRPr="00A555F3">
        <w:rPr>
          <w:lang w:val="tr-TR"/>
        </w:rPr>
        <w:t xml:space="preserve">Bu şart sağlandığı takdirde, </w:t>
      </w:r>
      <w:r w:rsidR="00A555F3">
        <w:rPr>
          <w:lang w:val="tr-TR"/>
        </w:rPr>
        <w:t>Marka Ortağı</w:t>
      </w:r>
      <w:r w:rsidRPr="00A555F3">
        <w:rPr>
          <w:lang w:val="tr-TR"/>
        </w:rPr>
        <w:t xml:space="preserve"> 6 ay boyunca MMR ödemesi almaya hak kazanır.</w:t>
      </w:r>
    </w:p>
    <w:p w14:paraId="7274940B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333D6072">
          <v:rect id="_x0000_i1030" style="width:0;height:1.5pt" o:hralign="center" o:hrstd="t" o:hr="t" fillcolor="#a0a0a0" stroked="f"/>
        </w:pict>
      </w:r>
    </w:p>
    <w:p w14:paraId="7D60585D" w14:textId="77777777" w:rsidR="00070582" w:rsidRPr="00A555F3" w:rsidRDefault="00070582" w:rsidP="00070582">
      <w:pPr>
        <w:rPr>
          <w:b/>
          <w:bCs/>
          <w:i/>
          <w:iCs/>
          <w:lang w:val="tr-TR"/>
        </w:rPr>
      </w:pPr>
      <w:r w:rsidRPr="00A555F3">
        <w:rPr>
          <w:b/>
          <w:bCs/>
          <w:i/>
          <w:iCs/>
          <w:lang w:val="tr-TR"/>
        </w:rPr>
        <w:t>2.3 Güncellenmiş Aylık MMR Ödeme Şartları</w:t>
      </w:r>
    </w:p>
    <w:p w14:paraId="742AD70D" w14:textId="77777777" w:rsidR="00070582" w:rsidRPr="00A555F3" w:rsidRDefault="00070582" w:rsidP="00070582">
      <w:pPr>
        <w:numPr>
          <w:ilvl w:val="0"/>
          <w:numId w:val="6"/>
        </w:numPr>
        <w:rPr>
          <w:lang w:val="tr-TR"/>
        </w:rPr>
      </w:pPr>
      <w:r w:rsidRPr="00A555F3">
        <w:rPr>
          <w:lang w:val="tr-TR"/>
        </w:rPr>
        <w:t>MMR ödemelerinin 2. ayından 6. ayına kadar, önceki “Me &amp; Three” şartı kaldırılmıştır.</w:t>
      </w:r>
    </w:p>
    <w:p w14:paraId="2A8903E3" w14:textId="77777777" w:rsidR="00070582" w:rsidRPr="00A555F3" w:rsidRDefault="00070582" w:rsidP="00070582">
      <w:pPr>
        <w:numPr>
          <w:ilvl w:val="0"/>
          <w:numId w:val="6"/>
        </w:numPr>
        <w:rPr>
          <w:lang w:val="tr-TR"/>
        </w:rPr>
      </w:pPr>
      <w:r w:rsidRPr="00A555F3">
        <w:rPr>
          <w:lang w:val="tr-TR"/>
        </w:rPr>
        <w:t>Bunun yerine, ilgili aylarda MMR ödemesi alabilmek için:</w:t>
      </w:r>
    </w:p>
    <w:p w14:paraId="6566E02C" w14:textId="77777777" w:rsidR="00070582" w:rsidRPr="00A555F3" w:rsidRDefault="00070582" w:rsidP="00070582">
      <w:pPr>
        <w:numPr>
          <w:ilvl w:val="1"/>
          <w:numId w:val="6"/>
        </w:numPr>
        <w:rPr>
          <w:lang w:val="tr-TR"/>
        </w:rPr>
      </w:pPr>
      <w:r w:rsidRPr="00A555F3">
        <w:rPr>
          <w:lang w:val="tr-TR"/>
        </w:rPr>
        <w:t>En az 2 yeni kayıt,</w:t>
      </w:r>
    </w:p>
    <w:p w14:paraId="36B2E77B" w14:textId="77777777" w:rsidR="00070582" w:rsidRPr="00A555F3" w:rsidRDefault="00070582" w:rsidP="00070582">
      <w:pPr>
        <w:numPr>
          <w:ilvl w:val="1"/>
          <w:numId w:val="6"/>
        </w:numPr>
        <w:rPr>
          <w:lang w:val="tr-TR"/>
        </w:rPr>
      </w:pPr>
      <w:r w:rsidRPr="00A555F3">
        <w:rPr>
          <w:lang w:val="tr-TR"/>
        </w:rPr>
        <w:t>Her biri için S&amp;S üzerinde minimum 100 PV üretilmiş olması gerekmektedir.</w:t>
      </w:r>
    </w:p>
    <w:p w14:paraId="086717F4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54A9C86F">
          <v:rect id="_x0000_i1031" style="width:0;height:1.5pt" o:hralign="center" o:hrstd="t" o:hr="t" fillcolor="#a0a0a0" stroked="f"/>
        </w:pict>
      </w:r>
    </w:p>
    <w:p w14:paraId="760E9CF1" w14:textId="77777777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>3. Genel Hükümler</w:t>
      </w:r>
    </w:p>
    <w:p w14:paraId="7C2212FD" w14:textId="0B12AB6F" w:rsidR="00A765A5" w:rsidRPr="00A765A5" w:rsidRDefault="00070582" w:rsidP="00A765A5">
      <w:pPr>
        <w:rPr>
          <w:lang w:val="tr-TR"/>
        </w:rPr>
      </w:pPr>
      <w:r w:rsidRPr="00A555F3">
        <w:rPr>
          <w:lang w:val="tr-TR"/>
        </w:rPr>
        <w:t>3.1 Bu dokümanda belirtilen değişiklikler, ilgili programların geçiş ve sonlandırma sürecini kapsar.</w:t>
      </w:r>
      <w:r w:rsidRPr="00A555F3">
        <w:rPr>
          <w:lang w:val="tr-TR"/>
        </w:rPr>
        <w:br/>
        <w:t xml:space="preserve">3.2 Amare Global, </w:t>
      </w:r>
      <w:r w:rsidR="00A555F3">
        <w:rPr>
          <w:lang w:val="tr-TR"/>
        </w:rPr>
        <w:t>Kazanç</w:t>
      </w:r>
      <w:r w:rsidRPr="00A555F3">
        <w:rPr>
          <w:lang w:val="tr-TR"/>
        </w:rPr>
        <w:t xml:space="preserve"> Plan</w:t>
      </w:r>
      <w:r w:rsidR="00A555F3">
        <w:rPr>
          <w:lang w:val="tr-TR"/>
        </w:rPr>
        <w:t>ı</w:t>
      </w:r>
      <w:r w:rsidRPr="00A555F3">
        <w:rPr>
          <w:lang w:val="tr-TR"/>
        </w:rPr>
        <w:t xml:space="preserve"> ve ilgili programlarda değişiklik yapma hakkını saklı tutar.</w:t>
      </w:r>
      <w:r w:rsidRPr="00A555F3">
        <w:rPr>
          <w:lang w:val="tr-TR"/>
        </w:rPr>
        <w:br/>
        <w:t xml:space="preserve">3.3 Bu metinde tanımlanmayan tüm terimler, Amare </w:t>
      </w:r>
      <w:r w:rsidR="00A555F3">
        <w:rPr>
          <w:lang w:val="tr-TR"/>
        </w:rPr>
        <w:t>Kazanç</w:t>
      </w:r>
      <w:r w:rsidRPr="00A555F3">
        <w:rPr>
          <w:lang w:val="tr-TR"/>
        </w:rPr>
        <w:t xml:space="preserve"> Plan</w:t>
      </w:r>
      <w:r w:rsidR="00A555F3">
        <w:rPr>
          <w:lang w:val="tr-TR"/>
        </w:rPr>
        <w:t>ı</w:t>
      </w:r>
      <w:r w:rsidRPr="00A555F3">
        <w:rPr>
          <w:lang w:val="tr-TR"/>
        </w:rPr>
        <w:t xml:space="preserve"> ve </w:t>
      </w:r>
      <w:r w:rsidR="00A555F3">
        <w:rPr>
          <w:lang w:val="tr-TR"/>
        </w:rPr>
        <w:t>Politika Prosedürleri</w:t>
      </w:r>
      <w:r w:rsidRPr="00A555F3">
        <w:rPr>
          <w:lang w:val="tr-TR"/>
        </w:rPr>
        <w:t xml:space="preserve"> hükümlerine tabidir.</w:t>
      </w:r>
      <w:r w:rsidR="00A765A5">
        <w:rPr>
          <w:lang w:val="tr-TR"/>
        </w:rPr>
        <w:br/>
        <w:t>3.4.</w:t>
      </w:r>
      <w:r w:rsidR="00A765A5" w:rsidRPr="00A765A5">
        <w:rPr>
          <w:lang w:val="tr-TR"/>
        </w:rPr>
        <w:t xml:space="preserve">Bu belgenin herhangi bir çevirilen sürümü arasında herhangi bir anlam farklılığı olduğunda, İngilizce ve Türkçe metin arasında çelişki olması durumunda İngilizce metin geçerli olacaktır.  </w:t>
      </w:r>
    </w:p>
    <w:p w14:paraId="732C6778" w14:textId="77777777" w:rsidR="00A765A5" w:rsidRDefault="00A765A5" w:rsidP="00070582">
      <w:pPr>
        <w:rPr>
          <w:lang w:val="tr-TR"/>
        </w:rPr>
      </w:pPr>
    </w:p>
    <w:p w14:paraId="1D86F891" w14:textId="77777777" w:rsidR="00A765A5" w:rsidRPr="00A555F3" w:rsidRDefault="00A765A5" w:rsidP="00070582">
      <w:pPr>
        <w:rPr>
          <w:lang w:val="tr-TR"/>
        </w:rPr>
      </w:pPr>
    </w:p>
    <w:p w14:paraId="7C32D270" w14:textId="27E2AFED" w:rsidR="001B54F6" w:rsidRPr="00070582" w:rsidRDefault="001B54F6" w:rsidP="00070582"/>
    <w:sectPr w:rsidR="001B54F6" w:rsidRPr="0007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522"/>
    <w:multiLevelType w:val="multilevel"/>
    <w:tmpl w:val="D4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351D"/>
    <w:multiLevelType w:val="multilevel"/>
    <w:tmpl w:val="B20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61D0B"/>
    <w:multiLevelType w:val="multilevel"/>
    <w:tmpl w:val="C8E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13D46"/>
    <w:multiLevelType w:val="multilevel"/>
    <w:tmpl w:val="DB42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87421"/>
    <w:multiLevelType w:val="multilevel"/>
    <w:tmpl w:val="AAE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8486D"/>
    <w:multiLevelType w:val="multilevel"/>
    <w:tmpl w:val="983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23AF9"/>
    <w:multiLevelType w:val="hybridMultilevel"/>
    <w:tmpl w:val="5E52D2EC"/>
    <w:lvl w:ilvl="0" w:tplc="3BB017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2A18E">
      <w:start w:val="1"/>
      <w:numFmt w:val="bullet"/>
      <w:lvlText w:val="o"/>
      <w:lvlJc w:val="left"/>
      <w:pPr>
        <w:ind w:left="1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A6336">
      <w:start w:val="1"/>
      <w:numFmt w:val="bullet"/>
      <w:lvlText w:val="▪"/>
      <w:lvlJc w:val="left"/>
      <w:pPr>
        <w:ind w:left="2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CC2DA">
      <w:start w:val="1"/>
      <w:numFmt w:val="bullet"/>
      <w:lvlText w:val="•"/>
      <w:lvlJc w:val="left"/>
      <w:pPr>
        <w:ind w:left="2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6FA4C">
      <w:start w:val="1"/>
      <w:numFmt w:val="bullet"/>
      <w:lvlText w:val="o"/>
      <w:lvlJc w:val="left"/>
      <w:pPr>
        <w:ind w:left="3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C2650">
      <w:start w:val="1"/>
      <w:numFmt w:val="bullet"/>
      <w:lvlText w:val="▪"/>
      <w:lvlJc w:val="left"/>
      <w:pPr>
        <w:ind w:left="4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00060">
      <w:start w:val="1"/>
      <w:numFmt w:val="bullet"/>
      <w:lvlText w:val="•"/>
      <w:lvlJc w:val="left"/>
      <w:pPr>
        <w:ind w:left="5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57B6">
      <w:start w:val="1"/>
      <w:numFmt w:val="bullet"/>
      <w:lvlText w:val="o"/>
      <w:lvlJc w:val="left"/>
      <w:pPr>
        <w:ind w:left="5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45870">
      <w:start w:val="1"/>
      <w:numFmt w:val="bullet"/>
      <w:lvlText w:val="▪"/>
      <w:lvlJc w:val="left"/>
      <w:pPr>
        <w:ind w:left="6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613666">
    <w:abstractNumId w:val="2"/>
  </w:num>
  <w:num w:numId="2" w16cid:durableId="1465545310">
    <w:abstractNumId w:val="0"/>
  </w:num>
  <w:num w:numId="3" w16cid:durableId="1250235230">
    <w:abstractNumId w:val="4"/>
  </w:num>
  <w:num w:numId="4" w16cid:durableId="142242440">
    <w:abstractNumId w:val="3"/>
  </w:num>
  <w:num w:numId="5" w16cid:durableId="291399506">
    <w:abstractNumId w:val="1"/>
  </w:num>
  <w:num w:numId="6" w16cid:durableId="1371682270">
    <w:abstractNumId w:val="5"/>
  </w:num>
  <w:num w:numId="7" w16cid:durableId="209999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F6"/>
    <w:rsid w:val="000150B0"/>
    <w:rsid w:val="00070582"/>
    <w:rsid w:val="000A4A89"/>
    <w:rsid w:val="001B54F6"/>
    <w:rsid w:val="00483A59"/>
    <w:rsid w:val="004A014F"/>
    <w:rsid w:val="005435D9"/>
    <w:rsid w:val="00647130"/>
    <w:rsid w:val="00713403"/>
    <w:rsid w:val="00726BCA"/>
    <w:rsid w:val="00787CA1"/>
    <w:rsid w:val="009D6638"/>
    <w:rsid w:val="00A063FB"/>
    <w:rsid w:val="00A555F3"/>
    <w:rsid w:val="00A765A5"/>
    <w:rsid w:val="00E218AF"/>
    <w:rsid w:val="00EE337E"/>
    <w:rsid w:val="00F10EF1"/>
    <w:rsid w:val="00F8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F9CD"/>
  <w15:chartTrackingRefBased/>
  <w15:docId w15:val="{33DE6C5D-A24A-48CF-BF10-37B3527C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338</Words>
  <Characters>2106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Hunter</dc:creator>
  <cp:keywords/>
  <dc:description/>
  <cp:lastModifiedBy>Gencay Bulut</cp:lastModifiedBy>
  <cp:revision>6</cp:revision>
  <dcterms:created xsi:type="dcterms:W3CDTF">2026-01-30T12:11:00Z</dcterms:created>
  <dcterms:modified xsi:type="dcterms:W3CDTF">2026-02-06T09:06:00Z</dcterms:modified>
</cp:coreProperties>
</file>